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2C1493" w:rsidRPr="002C1493">
        <w:trPr>
          <w:tblCellSpacing w:w="0" w:type="dxa"/>
        </w:trPr>
        <w:tc>
          <w:tcPr>
            <w:tcW w:w="0" w:type="auto"/>
            <w:shd w:val="clear" w:color="auto" w:fill="FFFFFF"/>
            <w:vAlign w:val="center"/>
            <w:hideMark/>
          </w:tcPr>
          <w:p w:rsidR="002C1493" w:rsidRPr="002C1493" w:rsidRDefault="002C1493" w:rsidP="002C1493">
            <w:pPr>
              <w:spacing w:after="0" w:line="240" w:lineRule="auto"/>
              <w:rPr>
                <w:rFonts w:ascii="Times New Roman" w:eastAsia="Times New Roman" w:hAnsi="Times New Roman" w:cs="Times New Roman"/>
                <w:sz w:val="24"/>
                <w:szCs w:val="24"/>
              </w:rPr>
            </w:pPr>
          </w:p>
        </w:tc>
      </w:tr>
      <w:tr w:rsidR="002C1493" w:rsidRPr="002C149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288"/>
              <w:gridCol w:w="7072"/>
            </w:tblGrid>
            <w:tr w:rsidR="002C1493" w:rsidRPr="002C1493">
              <w:trPr>
                <w:tblCellSpacing w:w="0" w:type="dxa"/>
              </w:trPr>
              <w:tc>
                <w:tcPr>
                  <w:tcW w:w="1980" w:type="dxa"/>
                  <w:hideMark/>
                </w:tcPr>
                <w:p w:rsidR="002C1493" w:rsidRPr="002C1493" w:rsidRDefault="002C1493" w:rsidP="002C1493">
                  <w:pPr>
                    <w:spacing w:after="0" w:line="240" w:lineRule="auto"/>
                    <w:rPr>
                      <w:rFonts w:ascii="Times New Roman" w:eastAsia="Times New Roman" w:hAnsi="Times New Roman" w:cs="Times New Roman"/>
                      <w:sz w:val="24"/>
                      <w:szCs w:val="24"/>
                    </w:rPr>
                  </w:pPr>
                  <w:r w:rsidRPr="002C1493">
                    <w:rPr>
                      <w:rFonts w:ascii="Times New Roman" w:eastAsia="Times New Roman" w:hAnsi="Times New Roman" w:cs="Times New Roman"/>
                      <w:noProof/>
                      <w:sz w:val="24"/>
                      <w:szCs w:val="24"/>
                    </w:rPr>
                    <w:drawing>
                      <wp:inline distT="0" distB="0" distL="0" distR="0" wp14:anchorId="053C6FBD" wp14:editId="7A974880">
                        <wp:extent cx="1097280" cy="1226820"/>
                        <wp:effectExtent l="0" t="0" r="7620" b="0"/>
                        <wp:docPr id="1" name="Picture 1" descr="http://escapevelocitybymoore.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capevelocitybymoore.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226820"/>
                                </a:xfrm>
                                <a:prstGeom prst="rect">
                                  <a:avLst/>
                                </a:prstGeom>
                                <a:noFill/>
                                <a:ln>
                                  <a:noFill/>
                                </a:ln>
                              </pic:spPr>
                            </pic:pic>
                          </a:graphicData>
                        </a:graphic>
                      </wp:inline>
                    </w:drawing>
                  </w:r>
                </w:p>
              </w:tc>
              <w:tc>
                <w:tcPr>
                  <w:tcW w:w="6120" w:type="dxa"/>
                  <w:hideMark/>
                </w:tcPr>
                <w:p w:rsidR="002C1493" w:rsidRPr="002C1493" w:rsidRDefault="002C1493" w:rsidP="002C1493">
                  <w:pPr>
                    <w:spacing w:after="240" w:line="240" w:lineRule="auto"/>
                    <w:rPr>
                      <w:rFonts w:ascii="Times New Roman" w:eastAsia="Times New Roman" w:hAnsi="Times New Roman" w:cs="Times New Roman"/>
                      <w:sz w:val="24"/>
                      <w:szCs w:val="24"/>
                    </w:rPr>
                  </w:pPr>
                  <w:r w:rsidRPr="002C1493">
                    <w:rPr>
                      <w:rFonts w:ascii="Times New Roman" w:eastAsia="Times New Roman" w:hAnsi="Times New Roman" w:cs="Times New Roman"/>
                      <w:noProof/>
                      <w:sz w:val="24"/>
                      <w:szCs w:val="24"/>
                    </w:rPr>
                    <w:drawing>
                      <wp:inline distT="0" distB="0" distL="0" distR="0" wp14:anchorId="62858CA0" wp14:editId="3870C445">
                        <wp:extent cx="1554480" cy="365760"/>
                        <wp:effectExtent l="0" t="0" r="7620" b="0"/>
                        <wp:docPr id="2" name="Picture 2" descr="http://escapevelocitybymoore.com/images/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capevelocitybymoore.com/images/summa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365760"/>
                                </a:xfrm>
                                <a:prstGeom prst="rect">
                                  <a:avLst/>
                                </a:prstGeom>
                                <a:noFill/>
                                <a:ln>
                                  <a:noFill/>
                                </a:ln>
                              </pic:spPr>
                            </pic:pic>
                          </a:graphicData>
                        </a:graphic>
                      </wp:inline>
                    </w:drawing>
                  </w:r>
                  <w:bookmarkStart w:id="0" w:name="_GoBack"/>
                  <w:bookmarkEnd w:id="0"/>
                </w:p>
                <w:p w:rsidR="002C1493" w:rsidRPr="002C1493" w:rsidRDefault="002C1493" w:rsidP="002C1493">
                  <w:pPr>
                    <w:spacing w:before="100" w:beforeAutospacing="1" w:after="100" w:afterAutospacing="1" w:line="240" w:lineRule="atLeast"/>
                    <w:rPr>
                      <w:rFonts w:ascii="Tahoma" w:eastAsia="Times New Roman" w:hAnsi="Tahoma" w:cs="Tahoma"/>
                      <w:color w:val="000000"/>
                      <w:sz w:val="17"/>
                      <w:szCs w:val="17"/>
                    </w:rPr>
                  </w:pPr>
                  <w:r w:rsidRPr="002C1493">
                    <w:rPr>
                      <w:rFonts w:ascii="Tahoma" w:eastAsia="Times New Roman" w:hAnsi="Tahoma" w:cs="Tahoma"/>
                      <w:color w:val="000000"/>
                      <w:sz w:val="17"/>
                      <w:szCs w:val="17"/>
                    </w:rPr>
                    <w:t>Escape Velocity addresses a “power deficit” in established enterprises that holds them captive to their legacy franchises and renders them unable to capitalize on next-generation opportunities. Moore traces this deficit to a performance-oriented management culture that drives accountability for financial results without establishing equivalent responsibility for replenishing competitive advantage. In this context enterprises continually draw down their reserves of power to fuel the current quarter’s results while failing to stake out future positions of power to drive next-generation growth. Moore’s analysis shows this behavior is deeply embedded in the established norms and practices of global businesses and that a new set of frameworks and disciplines are required to correct for it.</w:t>
                  </w:r>
                </w:p>
                <w:p w:rsidR="002C1493" w:rsidRPr="002C1493" w:rsidRDefault="002C1493" w:rsidP="002C1493">
                  <w:pPr>
                    <w:spacing w:before="100" w:beforeAutospacing="1" w:after="100" w:afterAutospacing="1" w:line="240" w:lineRule="atLeast"/>
                    <w:rPr>
                      <w:rFonts w:ascii="Tahoma" w:eastAsia="Times New Roman" w:hAnsi="Tahoma" w:cs="Tahoma"/>
                      <w:color w:val="000000"/>
                      <w:sz w:val="17"/>
                      <w:szCs w:val="17"/>
                    </w:rPr>
                  </w:pPr>
                  <w:r w:rsidRPr="002C1493">
                    <w:rPr>
                      <w:rFonts w:ascii="Tahoma" w:eastAsia="Times New Roman" w:hAnsi="Tahoma" w:cs="Tahoma"/>
                      <w:color w:val="000000"/>
                      <w:sz w:val="17"/>
                      <w:szCs w:val="17"/>
                    </w:rPr>
                    <w:t>Escape Velocity organizes this material around a “framework of frameworks” Moore calls the Hierarchy of Powers. This is comprised of five types of power, all of which must be aligned to achieve escape velocity. They are:</w:t>
                  </w:r>
                </w:p>
                <w:p w:rsidR="002C1493" w:rsidRPr="002C1493" w:rsidRDefault="002C1493" w:rsidP="002C1493">
                  <w:pPr>
                    <w:numPr>
                      <w:ilvl w:val="0"/>
                      <w:numId w:val="1"/>
                    </w:numPr>
                    <w:spacing w:before="100" w:beforeAutospacing="1" w:after="240" w:line="240" w:lineRule="atLeast"/>
                    <w:rPr>
                      <w:rFonts w:ascii="Tahoma" w:eastAsia="Times New Roman" w:hAnsi="Tahoma" w:cs="Tahoma"/>
                      <w:color w:val="000000"/>
                      <w:sz w:val="17"/>
                      <w:szCs w:val="17"/>
                    </w:rPr>
                  </w:pPr>
                  <w:r w:rsidRPr="002C1493">
                    <w:rPr>
                      <w:rFonts w:ascii="Tahoma" w:eastAsia="Times New Roman" w:hAnsi="Tahoma" w:cs="Tahoma"/>
                      <w:color w:val="000000"/>
                      <w:sz w:val="17"/>
                      <w:szCs w:val="17"/>
                    </w:rPr>
                    <w:t>Category Power, achieved through proactively entering and exiting categories to participate meaningfully in the highest growth opportunities;</w:t>
                  </w:r>
                </w:p>
                <w:p w:rsidR="002C1493" w:rsidRPr="002C1493" w:rsidRDefault="002C1493" w:rsidP="002C1493">
                  <w:pPr>
                    <w:numPr>
                      <w:ilvl w:val="0"/>
                      <w:numId w:val="1"/>
                    </w:numPr>
                    <w:spacing w:before="100" w:beforeAutospacing="1" w:after="240" w:line="240" w:lineRule="atLeast"/>
                    <w:rPr>
                      <w:rFonts w:ascii="Tahoma" w:eastAsia="Times New Roman" w:hAnsi="Tahoma" w:cs="Tahoma"/>
                      <w:color w:val="000000"/>
                      <w:sz w:val="17"/>
                      <w:szCs w:val="17"/>
                    </w:rPr>
                  </w:pPr>
                  <w:r w:rsidRPr="002C1493">
                    <w:rPr>
                      <w:rFonts w:ascii="Tahoma" w:eastAsia="Times New Roman" w:hAnsi="Tahoma" w:cs="Tahoma"/>
                      <w:color w:val="000000"/>
                      <w:sz w:val="17"/>
                      <w:szCs w:val="17"/>
                    </w:rPr>
                    <w:t>Company Power, achieved through highly asymmetrical allocations of resources to create “unmatchable” core capabilities;</w:t>
                  </w:r>
                </w:p>
                <w:p w:rsidR="002C1493" w:rsidRPr="002C1493" w:rsidRDefault="002C1493" w:rsidP="002C1493">
                  <w:pPr>
                    <w:numPr>
                      <w:ilvl w:val="0"/>
                      <w:numId w:val="1"/>
                    </w:numPr>
                    <w:spacing w:before="100" w:beforeAutospacing="1" w:after="240" w:line="240" w:lineRule="atLeast"/>
                    <w:rPr>
                      <w:rFonts w:ascii="Tahoma" w:eastAsia="Times New Roman" w:hAnsi="Tahoma" w:cs="Tahoma"/>
                      <w:color w:val="000000"/>
                      <w:sz w:val="17"/>
                      <w:szCs w:val="17"/>
                    </w:rPr>
                  </w:pPr>
                  <w:r w:rsidRPr="002C1493">
                    <w:rPr>
                      <w:rFonts w:ascii="Tahoma" w:eastAsia="Times New Roman" w:hAnsi="Tahoma" w:cs="Tahoma"/>
                      <w:color w:val="000000"/>
                      <w:sz w:val="17"/>
                      <w:szCs w:val="17"/>
                    </w:rPr>
                    <w:t>Market Power, achieved through targeting the most strategic customer segments and skewing offers and programs to ensure winning dominant shares in each;</w:t>
                  </w:r>
                </w:p>
                <w:p w:rsidR="002C1493" w:rsidRPr="002C1493" w:rsidRDefault="002C1493" w:rsidP="002C1493">
                  <w:pPr>
                    <w:numPr>
                      <w:ilvl w:val="0"/>
                      <w:numId w:val="1"/>
                    </w:numPr>
                    <w:spacing w:before="100" w:beforeAutospacing="1" w:after="240" w:line="240" w:lineRule="atLeast"/>
                    <w:rPr>
                      <w:rFonts w:ascii="Tahoma" w:eastAsia="Times New Roman" w:hAnsi="Tahoma" w:cs="Tahoma"/>
                      <w:color w:val="000000"/>
                      <w:sz w:val="17"/>
                      <w:szCs w:val="17"/>
                    </w:rPr>
                  </w:pPr>
                  <w:r w:rsidRPr="002C1493">
                    <w:rPr>
                      <w:rFonts w:ascii="Tahoma" w:eastAsia="Times New Roman" w:hAnsi="Tahoma" w:cs="Tahoma"/>
                      <w:color w:val="000000"/>
                      <w:sz w:val="17"/>
                      <w:szCs w:val="17"/>
                    </w:rPr>
                    <w:t>Offer Power, achieved through disentangling three distinct forms of innovation one from another, managing each separately, to achieve differentiation, competitive neutralization, and internal productivity respectively; and</w:t>
                  </w:r>
                </w:p>
                <w:p w:rsidR="002C1493" w:rsidRPr="002C1493" w:rsidRDefault="002C1493" w:rsidP="002C1493">
                  <w:pPr>
                    <w:numPr>
                      <w:ilvl w:val="0"/>
                      <w:numId w:val="1"/>
                    </w:numPr>
                    <w:spacing w:before="100" w:beforeAutospacing="1" w:after="100" w:afterAutospacing="1" w:line="240" w:lineRule="atLeast"/>
                    <w:rPr>
                      <w:rFonts w:ascii="Tahoma" w:eastAsia="Times New Roman" w:hAnsi="Tahoma" w:cs="Tahoma"/>
                      <w:color w:val="000000"/>
                      <w:sz w:val="17"/>
                      <w:szCs w:val="17"/>
                    </w:rPr>
                  </w:pPr>
                  <w:r w:rsidRPr="002C1493">
                    <w:rPr>
                      <w:rFonts w:ascii="Tahoma" w:eastAsia="Times New Roman" w:hAnsi="Tahoma" w:cs="Tahoma"/>
                      <w:color w:val="000000"/>
                      <w:sz w:val="17"/>
                      <w:szCs w:val="17"/>
                    </w:rPr>
                    <w:t>Execution Power, with specific attention on transformational initiatives that realign the company around the next-generation capabilities required to execute its strategy.</w:t>
                  </w:r>
                </w:p>
                <w:p w:rsidR="002C1493" w:rsidRPr="002C1493" w:rsidRDefault="002C1493" w:rsidP="002C1493">
                  <w:pPr>
                    <w:spacing w:before="100" w:beforeAutospacing="1" w:after="100" w:afterAutospacing="1" w:line="240" w:lineRule="atLeast"/>
                    <w:rPr>
                      <w:rFonts w:ascii="Tahoma" w:eastAsia="Times New Roman" w:hAnsi="Tahoma" w:cs="Tahoma"/>
                      <w:color w:val="000000"/>
                      <w:sz w:val="17"/>
                      <w:szCs w:val="17"/>
                    </w:rPr>
                  </w:pPr>
                  <w:r w:rsidRPr="002C1493">
                    <w:rPr>
                      <w:rFonts w:ascii="Tahoma" w:eastAsia="Times New Roman" w:hAnsi="Tahoma" w:cs="Tahoma"/>
                      <w:color w:val="000000"/>
                      <w:sz w:val="17"/>
                      <w:szCs w:val="17"/>
                    </w:rPr>
                    <w:t>Escape Velocity devotes chapters to each of these five types of power, presenting models and frameworks to help management teams perceive and address the issues at hand, complemented with in-depth case examples that illustrate successful applications of these methods. All this material, in turn, is encapsulated in a strategic planning framework that grafts it onto the corporate planning calendar as a front end to the annual budget and operating plan process.</w:t>
                  </w:r>
                </w:p>
                <w:p w:rsidR="002C1493" w:rsidRPr="002C1493" w:rsidRDefault="002C1493" w:rsidP="002C1493">
                  <w:pPr>
                    <w:spacing w:before="100" w:beforeAutospacing="1" w:after="100" w:afterAutospacing="1" w:line="240" w:lineRule="auto"/>
                    <w:rPr>
                      <w:rFonts w:ascii="Times New Roman" w:eastAsia="Times New Roman" w:hAnsi="Times New Roman" w:cs="Times New Roman"/>
                      <w:sz w:val="24"/>
                      <w:szCs w:val="24"/>
                    </w:rPr>
                  </w:pPr>
                  <w:r w:rsidRPr="002C1493">
                    <w:rPr>
                      <w:rFonts w:ascii="Tahoma" w:eastAsia="Times New Roman" w:hAnsi="Tahoma" w:cs="Tahoma"/>
                      <w:color w:val="000000"/>
                      <w:sz w:val="17"/>
                      <w:szCs w:val="17"/>
                    </w:rPr>
                    <w:t>Moore pulls no punches as he draws on his twenty years of experience advising high-tech management teams to call out the misconceptions and behaviors that trap enterprises into decaying franchises, and he is adamant about the responsibility of executive management to reverse such trends. At the same time, he is empathetic about the challenges involved and highly pragmatic about how best to meet them. The result is a book centered right at the intersection of strategy and execution, the crucible in which next-generation successes and failures are formed.</w:t>
                  </w:r>
                </w:p>
              </w:tc>
            </w:tr>
          </w:tbl>
          <w:p w:rsidR="002C1493" w:rsidRPr="002C1493" w:rsidRDefault="002C1493" w:rsidP="002C1493">
            <w:pPr>
              <w:spacing w:after="0" w:line="240" w:lineRule="auto"/>
              <w:rPr>
                <w:rFonts w:ascii="Times New Roman" w:eastAsia="Times New Roman" w:hAnsi="Times New Roman" w:cs="Times New Roman"/>
                <w:sz w:val="24"/>
                <w:szCs w:val="24"/>
              </w:rPr>
            </w:pPr>
          </w:p>
        </w:tc>
      </w:tr>
    </w:tbl>
    <w:p w:rsidR="009E46B3" w:rsidRDefault="009E46B3"/>
    <w:sectPr w:rsidR="009E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6B18"/>
    <w:multiLevelType w:val="multilevel"/>
    <w:tmpl w:val="6FFE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93"/>
    <w:rsid w:val="002C1493"/>
    <w:rsid w:val="009E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Stimbra</dc:creator>
  <cp:lastModifiedBy>Richard Stimbra</cp:lastModifiedBy>
  <cp:revision>1</cp:revision>
  <dcterms:created xsi:type="dcterms:W3CDTF">2013-03-06T00:09:00Z</dcterms:created>
  <dcterms:modified xsi:type="dcterms:W3CDTF">2013-03-06T00:11:00Z</dcterms:modified>
</cp:coreProperties>
</file>